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 with Moisture Vapor Emission Control.</w:t>
      </w:r>
    </w:p>
    <w:p>
      <w:pPr>
        <w:pStyle w:val="ListParagraph"/>
        <w:numPr>
          <w:ilvl w:val="3"/>
          <w:numId w:val="2"/>
        </w:numPr>
        <w:spacing w:after="60" w:before="60"/>
      </w:pPr>
      <w:r>
        <w:rPr>
          <w:b w:val="false"/>
          <w:bCs w:val="false"/>
          <w:caps w:val="false"/>
        </w:rPr>
        <w:t xml:space="preserve">Nominal Thickness: 35 mils. Static Control Traditional MVR-CP-HP.</w:t>
      </w:r>
    </w:p>
    <w:p>
      <w:pPr>
        <w:pStyle w:val="ListParagraph"/>
        <w:numPr>
          <w:ilvl w:val="4"/>
          <w:numId w:val="2"/>
        </w:numPr>
        <w:spacing w:after="60" w:before="60"/>
      </w:pPr>
      <w:r>
        <w:rPr>
          <w:b w:val="false"/>
          <w:bCs w:val="false"/>
          <w:caps w:val="false"/>
        </w:rPr>
        <w:t xml:space="preserve">A low-odor, 2-component system that can be adapted for hot and cold climates.</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D7234: Standard Test Method for Pull-Off Adhesion Strength of Coatings on Concrete Using Portable Pull-Off Adhesion Testers.</w:t>
      </w:r>
    </w:p>
    <w:p>
      <w:pPr>
        <w:pStyle w:val="ListParagraph"/>
        <w:numPr>
          <w:ilvl w:val="3"/>
          <w:numId w:val="2"/>
        </w:numPr>
        <w:spacing w:after="60" w:before="60"/>
      </w:pPr>
      <w:r>
        <w:rPr>
          <w:b w:val="false"/>
          <w:bCs w:val="false"/>
          <w:caps w:val="false"/>
        </w:rPr>
        <w:t xml:space="preserve">ASTM F3010: Standard Practice for Two-Component Resin Based Membrane-Forming Moisture Mitigation Systems for Use Under Resilient Floor Covering.</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D7234.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10^9 ohms.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25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99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Static Control Traditional MVR-CP-HP manufactured by Kretus.</w:t>
      </w:r>
    </w:p>
    <w:p>
      <w:pPr>
        <w:pStyle w:val="ListParagraph"/>
        <w:numPr>
          <w:ilvl w:val="3"/>
          <w:numId w:val="2"/>
        </w:numPr>
        <w:spacing w:after="60" w:before="60"/>
      </w:pPr>
      <w:r>
        <w:rPr>
          <w:b w:val="false"/>
          <w:bCs w:val="false"/>
          <w:caps w:val="false"/>
        </w:rPr>
        <w:t xml:space="preserve">Total Nominal Thickness: 35 mils.</w:t>
      </w:r>
    </w:p>
    <w:p>
      <w:pPr>
        <w:pStyle w:val="ListParagraph"/>
        <w:numPr>
          <w:ilvl w:val="3"/>
          <w:numId w:val="2"/>
        </w:numPr>
        <w:spacing w:after="60" w:before="60"/>
      </w:pPr>
      <w:r>
        <w:rPr>
          <w:b w:val="false"/>
          <w:bCs w:val="false"/>
          <w:caps w:val="false"/>
        </w:rPr>
        <w:t xml:space="preserve">MVR Coat: KRETUS TOP SHELF EPOXY MVR.</w:t>
      </w:r>
    </w:p>
    <w:p>
      <w:pPr>
        <w:pStyle w:val="ListParagraph"/>
        <w:numPr>
          <w:ilvl w:val="4"/>
          <w:numId w:val="2"/>
        </w:numPr>
        <w:spacing w:after="60" w:before="60"/>
      </w:pPr>
      <w:r>
        <w:rPr>
          <w:b w:val="false"/>
          <w:bCs w:val="false"/>
          <w:caps w:val="false"/>
        </w:rPr>
        <w:t xml:space="preserve">A low-odor, 2-component system that can be adapted for hot and cold climates.</w:t>
      </w:r>
    </w:p>
    <w:p>
      <w:pPr>
        <w:pStyle w:val="ListParagraph"/>
        <w:numPr>
          <w:ilvl w:val="3"/>
          <w:numId w:val="2"/>
        </w:numPr>
        <w:spacing w:after="60" w:before="60"/>
      </w:pPr>
      <w:r>
        <w:rPr>
          <w:b w:val="false"/>
          <w:bCs w:val="false"/>
          <w:caps w:val="false"/>
        </w:rPr>
        <w:t xml:space="preserve">Conductive Primer: KRETUS WB CONDUCTIVE PRIMER.</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3"/>
          <w:numId w:val="2"/>
        </w:numPr>
        <w:spacing w:after="60" w:before="60"/>
      </w:pPr>
      <w:r>
        <w:rPr>
          <w:b w:val="false"/>
          <w:bCs w:val="false"/>
          <w:caps w:val="false"/>
        </w:rPr>
        <w:t xml:space="preserve">Top Coat: KRETUS ESD POLYURETHANE HP.</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4"/>
          <w:numId w:val="2"/>
        </w:numPr>
        <w:spacing w:after="60" w:before="60"/>
      </w:pPr>
      <w:r>
        <w:rPr>
          <w:b w:val="false"/>
          <w:bCs w:val="false"/>
          <w:caps w:val="false"/>
        </w:rPr>
        <w:t xml:space="preserve">Colorant: KRETUS POLY COLORANT.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10 mg loss.</w:t>
      </w:r>
    </w:p>
    <w:p>
      <w:pPr>
        <w:pStyle w:val="ListParagraph"/>
        <w:numPr>
          <w:ilvl w:val="4"/>
          <w:numId w:val="2"/>
        </w:numPr>
        <w:spacing w:after="60" w:before="60"/>
      </w:pPr>
      <w:r>
        <w:rPr>
          <w:b w:val="false"/>
          <w:bCs w:val="false"/>
          <w:caps w:val="false"/>
        </w:rPr>
        <w:t xml:space="preserve">Abrasion Resistance with Anti-Slip (ASTM D4060): 4 mg loss.</w:t>
      </w:r>
    </w:p>
    <w:p>
      <w:pPr>
        <w:pStyle w:val="ListParagraph"/>
        <w:numPr>
          <w:ilvl w:val="4"/>
          <w:numId w:val="2"/>
        </w:numPr>
        <w:spacing w:after="60" w:before="60"/>
      </w:pPr>
      <w:r>
        <w:rPr>
          <w:b w:val="false"/>
          <w:bCs w:val="false"/>
          <w:caps w:val="false"/>
        </w:rPr>
        <w:t xml:space="preserve">Adhesion Strength (ASTM D4541): 400 psi, concrete failure.</w:t>
      </w:r>
    </w:p>
    <w:p>
      <w:pPr>
        <w:pStyle w:val="ListParagraph"/>
        <w:numPr>
          <w:ilvl w:val="4"/>
          <w:numId w:val="2"/>
        </w:numPr>
        <w:spacing w:after="60" w:before="60"/>
      </w:pPr>
      <w:r>
        <w:rPr>
          <w:b w:val="false"/>
          <w:bCs w:val="false"/>
          <w:caps w:val="false"/>
        </w:rPr>
        <w:t xml:space="preserve">Body Voltage Generation (ANSI/ESD STM 97.2):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D695): 13,700 psi.</w:t>
      </w:r>
    </w:p>
    <w:p>
      <w:pPr>
        <w:pStyle w:val="ListParagraph"/>
        <w:numPr>
          <w:ilvl w:val="4"/>
          <w:numId w:val="2"/>
        </w:numPr>
        <w:spacing w:after="60" w:before="60"/>
      </w:pPr>
      <w:r>
        <w:rPr>
          <w:b w:val="false"/>
          <w:bCs w:val="false"/>
          <w:caps w:val="false"/>
        </w:rPr>
        <w:t xml:space="preserve">Electrostatic Decay (MIL-STD-3010C, Method 4046): &lt;0.1 second.</w:t>
      </w:r>
    </w:p>
    <w:p>
      <w:pPr>
        <w:pStyle w:val="ListParagraph"/>
        <w:numPr>
          <w:ilvl w:val="4"/>
          <w:numId w:val="2"/>
        </w:numPr>
        <w:spacing w:after="60" w:before="60"/>
      </w:pPr>
      <w:r>
        <w:rPr>
          <w:b w:val="false"/>
          <w:bCs w:val="false"/>
          <w:caps w:val="false"/>
        </w:rPr>
        <w:t xml:space="preserve">Electrostatic Resistance - Flooring (ANSI/ESD STM 7.1): &gt;2.5 x 10^4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Flexural Strength (ASTM D790): 9,000 psi.</w:t>
      </w:r>
    </w:p>
    <w:p>
      <w:pPr>
        <w:pStyle w:val="ListParagraph"/>
        <w:numPr>
          <w:ilvl w:val="4"/>
          <w:numId w:val="2"/>
        </w:numPr>
        <w:spacing w:after="60" w:before="60"/>
      </w:pPr>
      <w:r>
        <w:rPr>
          <w:b w:val="false"/>
          <w:bCs w:val="false"/>
          <w:caps w:val="false"/>
        </w:rPr>
        <w:t xml:space="preserve">Hardness, Konig (ASTM D4366): 170.</w:t>
      </w:r>
    </w:p>
    <w:p>
      <w:pPr>
        <w:pStyle w:val="ListParagraph"/>
        <w:numPr>
          <w:ilvl w:val="4"/>
          <w:numId w:val="2"/>
        </w:numPr>
        <w:spacing w:after="60" w:before="60"/>
      </w:pPr>
      <w:r>
        <w:rPr>
          <w:b w:val="false"/>
          <w:bCs w:val="false"/>
          <w:caps w:val="false"/>
        </w:rPr>
        <w:t xml:space="preserve">Impact Resistance (ASTM D2794): 120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Modulus of Elasticity (ASTM D790): 5.0 x 10^5 psi.</w:t>
      </w:r>
    </w:p>
    <w:p>
      <w:pPr>
        <w:pStyle w:val="ListParagraph"/>
        <w:numPr>
          <w:ilvl w:val="4"/>
          <w:numId w:val="2"/>
        </w:numPr>
        <w:spacing w:after="60" w:before="60"/>
      </w:pPr>
      <w:r>
        <w:rPr>
          <w:b w:val="false"/>
          <w:bCs w:val="false"/>
          <w:caps w:val="false"/>
        </w:rPr>
        <w:t xml:space="preserve">Moisture Vapor Emission Rate (ASTM F1869): Depends on hardener: TH = 3 lbs; non-MVRs = 10 lbs; MVR = 25 lbs.</w:t>
      </w:r>
    </w:p>
    <w:p>
      <w:pPr>
        <w:pStyle w:val="ListParagraph"/>
        <w:numPr>
          <w:ilvl w:val="4"/>
          <w:numId w:val="2"/>
        </w:numPr>
        <w:spacing w:after="60" w:before="60"/>
      </w:pPr>
      <w:r>
        <w:rPr>
          <w:b w:val="false"/>
          <w:bCs w:val="false"/>
          <w:caps w:val="false"/>
        </w:rPr>
        <w:t xml:space="preserve">Moisture Vapor Permeance (ASTM E96): Depends on hardener: MVRs = 0.059 perms; other hardeners = 0.08 perms.</w:t>
      </w:r>
    </w:p>
    <w:p>
      <w:pPr>
        <w:pStyle w:val="ListParagraph"/>
        <w:numPr>
          <w:ilvl w:val="4"/>
          <w:numId w:val="2"/>
        </w:numPr>
        <w:spacing w:after="60" w:before="60"/>
      </w:pPr>
      <w:r>
        <w:rPr>
          <w:b w:val="false"/>
          <w:bCs w:val="false"/>
          <w:caps w:val="false"/>
        </w:rPr>
        <w:t xml:space="preserve">Relative Humidity (ASTM F2170): Depends on hardener: MVRs = 99 percent; other hardeners = 80 percent.</w:t>
      </w:r>
    </w:p>
    <w:p>
      <w:pPr>
        <w:pStyle w:val="ListParagraph"/>
        <w:numPr>
          <w:ilvl w:val="4"/>
          <w:numId w:val="2"/>
        </w:numPr>
        <w:spacing w:after="60" w:before="60"/>
      </w:pPr>
      <w:r>
        <w:rPr>
          <w:b w:val="false"/>
          <w:bCs w:val="false"/>
          <w:caps w:val="false"/>
        </w:rPr>
        <w:t xml:space="preserve">Tensile Elongation at Break (ASTM D638): 0.05.</w:t>
      </w:r>
    </w:p>
    <w:p>
      <w:pPr>
        <w:pStyle w:val="ListParagraph"/>
        <w:numPr>
          <w:ilvl w:val="4"/>
          <w:numId w:val="2"/>
        </w:numPr>
        <w:spacing w:after="60" w:before="60"/>
      </w:pPr>
      <w:r>
        <w:rPr>
          <w:b w:val="false"/>
          <w:bCs w:val="false"/>
          <w:caps w:val="false"/>
        </w:rPr>
        <w:t xml:space="preserve">Tensile Strength (ASTM D638): 7,800 psi.</w:t>
      </w:r>
    </w:p>
    <w:p>
      <w:pPr>
        <w:pStyle w:val="ListParagraph"/>
        <w:numPr>
          <w:ilvl w:val="4"/>
          <w:numId w:val="2"/>
        </w:numPr>
        <w:spacing w:after="60" w:before="60"/>
      </w:pPr>
      <w:r>
        <w:rPr>
          <w:b w:val="false"/>
          <w:bCs w:val="false"/>
          <w:caps w:val="false"/>
        </w:rPr>
        <w:t xml:space="preserve">Thermal Coefficient of Linear Expansion (ASTM D696): 18.0 x 10^-6 in/in/F.</w:t>
      </w:r>
    </w:p>
    <w:p>
      <w:pPr>
        <w:pStyle w:val="ListParagraph"/>
        <w:numPr>
          <w:ilvl w:val="4"/>
          <w:numId w:val="2"/>
        </w:numPr>
        <w:spacing w:after="60" w:before="60"/>
      </w:pPr>
      <w:r>
        <w:rPr>
          <w:b w:val="false"/>
          <w:bCs w:val="false"/>
          <w:caps w:val="false"/>
        </w:rPr>
        <w:t xml:space="preserve">UV Resistance (ASTM D4587): Level 2.</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4"/>
          <w:numId w:val="2"/>
        </w:numPr>
        <w:spacing w:after="60" w:before="60"/>
      </w:pPr>
      <w:r>
        <w:rPr>
          <w:b w:val="false"/>
          <w:bCs w:val="false"/>
          <w:caps w:val="false"/>
        </w:rPr>
        <w:t xml:space="preserve">Yellowing Resistance (ASTM G154): &lt; 3.0 DeltaE, gray (color tested for visible changes).</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TOP SHELF EPOXY.</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Traditional MVR-CP-HP, 35 mils.</w:t>
      </w:r>
    </w:p>
    <w:p>
      <w:pPr>
        <w:pStyle w:val="ListParagraph"/>
        <w:numPr>
          <w:ilvl w:val="3"/>
          <w:numId w:val="2"/>
        </w:numPr>
        <w:spacing w:after="60" w:before="60"/>
      </w:pPr>
      <w:r>
        <w:rPr>
          <w:b w:val="false"/>
          <w:bCs w:val="false"/>
          <w:caps w:val="false"/>
        </w:rPr>
        <w:t xml:space="preserve">MVR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15-20 WFT-mil blade. Smooth application with 3/8-inch non-shed nap roller.</w:t>
      </w:r>
    </w:p>
    <w:p>
      <w:pPr>
        <w:pStyle w:val="ListParagraph"/>
        <w:numPr>
          <w:ilvl w:val="5"/>
          <w:numId w:val="2"/>
        </w:numPr>
        <w:spacing w:after="60" w:before="60"/>
      </w:pPr>
      <w:r>
        <w:rPr>
          <w:b w:val="false"/>
          <w:bCs w:val="false"/>
          <w:caps w:val="false"/>
        </w:rPr>
        <w:t xml:space="preserve">Yields 100 SF/gal.</w:t>
      </w:r>
    </w:p>
    <w:p>
      <w:pPr>
        <w:pStyle w:val="ListParagraph"/>
        <w:numPr>
          <w:ilvl w:val="3"/>
          <w:numId w:val="2"/>
        </w:numPr>
        <w:spacing w:after="60" w:before="60"/>
      </w:pPr>
      <w:r>
        <w:rPr>
          <w:b w:val="false"/>
          <w:bCs w:val="false"/>
          <w:caps w:val="false"/>
        </w:rPr>
        <w:t xml:space="preserve">Conductive Primer:</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5-7 WFT-mil blade. Smooth application with 3/8-inch non-shed nap roller.</w:t>
      </w:r>
    </w:p>
    <w:p>
      <w:pPr>
        <w:pStyle w:val="ListParagraph"/>
        <w:numPr>
          <w:ilvl w:val="5"/>
          <w:numId w:val="2"/>
        </w:numPr>
        <w:spacing w:after="60" w:before="60"/>
      </w:pPr>
      <w:r>
        <w:rPr>
          <w:b w:val="false"/>
          <w:bCs w:val="false"/>
          <w:caps w:val="false"/>
        </w:rPr>
        <w:t xml:space="preserve">Yields 320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5-7 WFT-mil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D7234 must show substrate failure with a minimal pull of 200 psi.</w:t>
      </w:r>
    </w:p>
    <w:p>
      <w:pPr>
        <w:pStyle w:val="ListParagraph"/>
        <w:numPr>
          <w:ilvl w:val="2"/>
          <w:numId w:val="2"/>
        </w:numPr>
        <w:spacing w:after="60" w:before="60"/>
      </w:pPr>
      <w:r>
        <w:rPr>
          <w:b w:val="false"/>
          <w:bCs w:val="false"/>
          <w:caps w:val="false"/>
        </w:rPr>
        <w:t xml:space="preserve">Surface resistivity testing per ANSI/ESD S7.1 must be greater than 2.5 x 10^4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ESDT MVR-CP-HP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2026-06-12T16:33:22.911Z</dcterms:created>
  <dcterms:modified xsi:type="dcterms:W3CDTF">2026-06-12T16:33:22.911Z</dcterms:modified>
</cp:coreProperties>
</file>

<file path=docProps/custom.xml><?xml version="1.0" encoding="utf-8"?>
<Properties xmlns="http://schemas.openxmlformats.org/officeDocument/2006/custom-properties" xmlns:vt="http://schemas.openxmlformats.org/officeDocument/2006/docPropsVTypes"/>
</file>