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3/16 inch (5 mm). Static Control Traditional SL-30-CP-HP.</w:t>
      </w:r>
    </w:p>
    <w:p>
      <w:pPr>
        <w:pStyle w:val="ListParagraph"/>
        <w:numPr>
          <w:ilvl w:val="4"/>
          <w:numId w:val="2"/>
        </w:numPr>
        <w:spacing w:after="60" w:before="60"/>
      </w:pPr>
      <w:r>
        <w:rPr>
          <w:b w:val="false"/>
          <w:bCs w:val="false"/>
          <w:caps w:val="false"/>
        </w:rPr>
        <w:t xml:space="preserve">Self-leveling, 100 percent Solids Urethane Cement.</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25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Traditional SL-30-CP-HP manufactured by Kretus.</w:t>
      </w:r>
    </w:p>
    <w:p>
      <w:pPr>
        <w:pStyle w:val="ListParagraph"/>
        <w:numPr>
          <w:ilvl w:val="3"/>
          <w:numId w:val="2"/>
        </w:numPr>
        <w:spacing w:after="60" w:before="60"/>
      </w:pPr>
      <w:r>
        <w:rPr>
          <w:b w:val="false"/>
          <w:bCs w:val="false"/>
          <w:caps w:val="false"/>
        </w:rPr>
        <w:t xml:space="preserve">Total Nominal Thickness: 3/16 inch (5 mm).</w:t>
      </w:r>
    </w:p>
    <w:p>
      <w:pPr>
        <w:pStyle w:val="ListParagraph"/>
        <w:numPr>
          <w:ilvl w:val="3"/>
          <w:numId w:val="2"/>
        </w:numPr>
        <w:spacing w:after="60" w:before="60"/>
      </w:pPr>
      <w:r>
        <w:rPr>
          <w:b w:val="false"/>
          <w:bCs w:val="false"/>
          <w:caps w:val="false"/>
        </w:rPr>
        <w:t xml:space="preserve">Base Coat: KRETUS URETHANE POLYMER CONCRETE SL.</w:t>
      </w:r>
    </w:p>
    <w:p>
      <w:pPr>
        <w:pStyle w:val="ListParagraph"/>
        <w:numPr>
          <w:ilvl w:val="4"/>
          <w:numId w:val="2"/>
        </w:numPr>
        <w:spacing w:after="60" w:before="60"/>
      </w:pPr>
      <w:r>
        <w:rPr>
          <w:b w:val="false"/>
          <w:bCs w:val="false"/>
          <w:caps w:val="false"/>
        </w:rPr>
        <w:t xml:space="preserve">Self-leveling, 100 percent Solids Urethane Cement.</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1 lb/SF.</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POLYURETHANE HP.</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POLY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10 mg loss.</w:t>
      </w:r>
    </w:p>
    <w:p>
      <w:pPr>
        <w:pStyle w:val="ListParagraph"/>
        <w:numPr>
          <w:ilvl w:val="4"/>
          <w:numId w:val="2"/>
        </w:numPr>
        <w:spacing w:after="60" w:before="60"/>
      </w:pPr>
      <w:r>
        <w:rPr>
          <w:b w:val="false"/>
          <w:bCs w:val="false"/>
          <w:caps w:val="false"/>
        </w:rPr>
        <w:t xml:space="preserve">Abrasion Resistance with Anti-Slip (ASTM D4060): 4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Konig (ASTM D4366): 170.</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UV Resistance (ASTM D4587): Level 2.</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SL-30-CP-HP, 3/16 inch (5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1/2-inch-wide x 3/8-inch-deep V-notched squeegee or size 2 CAM (1/8-inch) and gauge rake. Smooth with loop and spiked rollers.</w:t>
      </w:r>
    </w:p>
    <w:p>
      <w:pPr>
        <w:pStyle w:val="ListParagraph"/>
        <w:numPr>
          <w:ilvl w:val="5"/>
          <w:numId w:val="2"/>
        </w:numPr>
        <w:spacing w:after="60" w:before="60"/>
      </w:pPr>
      <w:r>
        <w:rPr>
          <w:b w:val="false"/>
          <w:bCs w:val="false"/>
          <w:caps w:val="false"/>
        </w:rPr>
        <w:t xml:space="preserve">Yields 50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1 lb/SF.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SL-30-CP-HP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2026-06-12T16:33:23.393Z</dcterms:created>
  <dcterms:modified xsi:type="dcterms:W3CDTF">2026-06-12T16:33:23.393Z</dcterms:modified>
</cp:coreProperties>
</file>

<file path=docProps/custom.xml><?xml version="1.0" encoding="utf-8"?>
<Properties xmlns="http://schemas.openxmlformats.org/officeDocument/2006/custom-properties" xmlns:vt="http://schemas.openxmlformats.org/officeDocument/2006/docPropsVTypes"/>
</file>